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51" w:rsidRPr="00C468BA" w:rsidRDefault="00D16651" w:rsidP="00D16651">
      <w:pPr>
        <w:pStyle w:val="NormaleWeb"/>
        <w:spacing w:before="0" w:beforeAutospacing="0" w:after="0" w:afterAutospacing="0" w:line="360" w:lineRule="auto"/>
        <w:jc w:val="center"/>
        <w:rPr>
          <w:b/>
          <w:color w:val="00B0F0"/>
          <w:szCs w:val="21"/>
        </w:rPr>
      </w:pPr>
      <w:r w:rsidRPr="00C468BA">
        <w:rPr>
          <w:b/>
          <w:color w:val="00B0F0"/>
          <w:szCs w:val="21"/>
        </w:rPr>
        <w:t xml:space="preserve">A PROPOSITO DI PREMIO NOBEL PER LA LETTERATURA … </w:t>
      </w:r>
    </w:p>
    <w:p w:rsidR="00D16651" w:rsidRPr="00461E57" w:rsidRDefault="00D16651" w:rsidP="00B0712A">
      <w:pPr>
        <w:pStyle w:val="NormaleWeb"/>
        <w:spacing w:before="0" w:beforeAutospacing="0" w:after="120" w:afterAutospacing="0" w:line="276" w:lineRule="auto"/>
        <w:jc w:val="both"/>
        <w:rPr>
          <w:color w:val="1A171B"/>
          <w:sz w:val="21"/>
          <w:szCs w:val="21"/>
        </w:rPr>
      </w:pPr>
      <w:r w:rsidRPr="00461E57">
        <w:rPr>
          <w:color w:val="1A171B"/>
          <w:sz w:val="21"/>
          <w:szCs w:val="21"/>
        </w:rPr>
        <w:t xml:space="preserve">L’assegnazione nel 2016 al cantautore statunitense BOB DYLAN </w:t>
      </w:r>
      <w:r w:rsidRPr="00461E57">
        <w:rPr>
          <w:i/>
          <w:color w:val="1A171B"/>
          <w:sz w:val="21"/>
          <w:szCs w:val="21"/>
        </w:rPr>
        <w:t>per aver creato nuove espressioni poetiche all’interno della grande tradizione canora americana</w:t>
      </w:r>
      <w:r w:rsidRPr="00461E57">
        <w:rPr>
          <w:color w:val="1A171B"/>
          <w:sz w:val="21"/>
          <w:szCs w:val="21"/>
        </w:rPr>
        <w:t xml:space="preserve"> del Premio Nobel per la Letteratura ha suscitato u</w:t>
      </w:r>
      <w:bookmarkStart w:id="0" w:name="_GoBack"/>
      <w:bookmarkEnd w:id="0"/>
      <w:r w:rsidRPr="00461E57">
        <w:rPr>
          <w:color w:val="1A171B"/>
          <w:sz w:val="21"/>
          <w:szCs w:val="21"/>
        </w:rPr>
        <w:t>n vivace dibattito nell’opinione pubblica riguardo all’opportunità di considerare la canzone d’autore come appartenente all’ambito della letteratura. A testimonianza delle due tesi contrapposte ecco gli interventi di due studiosi di letteratura italiana</w:t>
      </w:r>
      <w:r w:rsidR="00B0712A" w:rsidRPr="00461E57">
        <w:rPr>
          <w:color w:val="1A171B"/>
          <w:sz w:val="21"/>
          <w:szCs w:val="21"/>
        </w:rPr>
        <w:t>: C. GIUNTA a favore e L. MONDO contro.</w:t>
      </w:r>
    </w:p>
    <w:p w:rsidR="00B0712A" w:rsidRPr="00461E57" w:rsidRDefault="00B0712A" w:rsidP="00B0712A">
      <w:pPr>
        <w:pStyle w:val="NormaleWeb"/>
        <w:spacing w:before="0" w:beforeAutospacing="0" w:after="0" w:afterAutospacing="0" w:line="276" w:lineRule="auto"/>
        <w:jc w:val="both"/>
        <w:rPr>
          <w:color w:val="1A171B"/>
          <w:sz w:val="21"/>
          <w:szCs w:val="21"/>
        </w:rPr>
      </w:pPr>
      <w:r w:rsidRPr="00461E57">
        <w:rPr>
          <w:color w:val="1A171B"/>
          <w:sz w:val="21"/>
          <w:szCs w:val="21"/>
        </w:rPr>
        <w:t>LEGENDA</w:t>
      </w:r>
    </w:p>
    <w:tbl>
      <w:tblPr>
        <w:tblStyle w:val="Grigliatabella"/>
        <w:tblW w:w="9855" w:type="dxa"/>
        <w:tblLayout w:type="fixed"/>
        <w:tblLook w:val="04A0" w:firstRow="1" w:lastRow="0" w:firstColumn="1" w:lastColumn="0" w:noHBand="0" w:noVBand="1"/>
      </w:tblPr>
      <w:tblGrid>
        <w:gridCol w:w="680"/>
        <w:gridCol w:w="2150"/>
        <w:gridCol w:w="1134"/>
        <w:gridCol w:w="709"/>
        <w:gridCol w:w="5182"/>
      </w:tblGrid>
      <w:tr w:rsidR="00B0712A" w:rsidRPr="00461E57" w:rsidTr="00B0712A">
        <w:trPr>
          <w:trHeight w:val="45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A00"/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/>
              <w:rPr>
                <w:color w:val="1A171B"/>
                <w:sz w:val="21"/>
                <w:szCs w:val="21"/>
              </w:rPr>
            </w:pPr>
            <w:r w:rsidRPr="00461E57">
              <w:rPr>
                <w:color w:val="1A171B"/>
                <w:sz w:val="21"/>
                <w:szCs w:val="21"/>
              </w:rPr>
              <w:t>TESI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5182" w:type="dxa"/>
            <w:tcBorders>
              <w:left w:val="single" w:sz="4" w:space="0" w:color="000000" w:themeColor="text1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/>
              <w:rPr>
                <w:color w:val="1A171B"/>
                <w:sz w:val="21"/>
                <w:szCs w:val="21"/>
              </w:rPr>
            </w:pPr>
            <w:r w:rsidRPr="00461E57">
              <w:rPr>
                <w:color w:val="1A171B"/>
                <w:sz w:val="21"/>
                <w:szCs w:val="21"/>
              </w:rPr>
              <w:t>ARGOMENTI A FAVORE TESI</w:t>
            </w:r>
          </w:p>
        </w:tc>
      </w:tr>
      <w:tr w:rsidR="00B0712A" w:rsidRPr="00461E57" w:rsidTr="00B0712A">
        <w:trPr>
          <w:trHeight w:val="45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/>
              <w:rPr>
                <w:color w:val="1A171B"/>
                <w:sz w:val="21"/>
                <w:szCs w:val="21"/>
              </w:rPr>
            </w:pPr>
            <w:r w:rsidRPr="00461E57">
              <w:rPr>
                <w:color w:val="1A171B"/>
                <w:sz w:val="21"/>
                <w:szCs w:val="21"/>
              </w:rPr>
              <w:t>ANTITESI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85FF"/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 w:line="276" w:lineRule="auto"/>
              <w:rPr>
                <w:color w:val="1A171B"/>
                <w:sz w:val="21"/>
                <w:szCs w:val="21"/>
              </w:rPr>
            </w:pPr>
          </w:p>
        </w:tc>
        <w:tc>
          <w:tcPr>
            <w:tcW w:w="5182" w:type="dxa"/>
            <w:tcBorders>
              <w:left w:val="single" w:sz="4" w:space="0" w:color="000000" w:themeColor="text1"/>
            </w:tcBorders>
            <w:vAlign w:val="center"/>
          </w:tcPr>
          <w:p w:rsidR="00B0712A" w:rsidRPr="00461E57" w:rsidRDefault="00B0712A" w:rsidP="00B0712A">
            <w:pPr>
              <w:pStyle w:val="NormaleWeb"/>
              <w:spacing w:before="0" w:beforeAutospacing="0" w:after="120" w:afterAutospacing="0"/>
              <w:rPr>
                <w:color w:val="1A171B"/>
                <w:sz w:val="21"/>
                <w:szCs w:val="21"/>
              </w:rPr>
            </w:pPr>
            <w:r w:rsidRPr="00461E57">
              <w:rPr>
                <w:color w:val="1A171B"/>
                <w:sz w:val="21"/>
                <w:szCs w:val="21"/>
              </w:rPr>
              <w:t>ARGOMENTI A CONFUTAZIONE ANTITESI</w:t>
            </w:r>
          </w:p>
        </w:tc>
      </w:tr>
    </w:tbl>
    <w:p w:rsidR="00D16651" w:rsidRPr="00461E57" w:rsidRDefault="00D16651" w:rsidP="00B0712A">
      <w:pPr>
        <w:pStyle w:val="NormaleWeb"/>
        <w:spacing w:before="240" w:beforeAutospacing="0" w:after="0" w:afterAutospacing="0" w:line="360" w:lineRule="auto"/>
        <w:jc w:val="both"/>
        <w:rPr>
          <w:b/>
          <w:color w:val="00B0F0"/>
          <w:sz w:val="21"/>
          <w:szCs w:val="21"/>
        </w:rPr>
      </w:pPr>
      <w:r w:rsidRPr="00461E57">
        <w:rPr>
          <w:b/>
          <w:color w:val="00B0F0"/>
          <w:sz w:val="21"/>
          <w:szCs w:val="21"/>
        </w:rPr>
        <w:t>PRO</w:t>
      </w:r>
    </w:p>
    <w:p w:rsidR="00D16651" w:rsidRPr="00461E57" w:rsidRDefault="00D16651" w:rsidP="00D16651">
      <w:pPr>
        <w:pStyle w:val="NormaleWeb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 w:beforeAutospacing="0" w:after="0" w:afterAutospacing="0" w:line="360" w:lineRule="auto"/>
        <w:jc w:val="both"/>
        <w:rPr>
          <w:color w:val="1A171B"/>
          <w:sz w:val="21"/>
          <w:szCs w:val="21"/>
        </w:rPr>
      </w:pPr>
      <w:r w:rsidRPr="00461E57">
        <w:rPr>
          <w:color w:val="1A171B"/>
          <w:sz w:val="21"/>
          <w:szCs w:val="21"/>
        </w:rPr>
        <w:t>E insomma: può la canzone, ancorché d’autore, permettersi di pareggiare la Letteratura? Non c’è davvero niente che non vada nella serie Montale-</w:t>
      </w:r>
      <w:proofErr w:type="spellStart"/>
      <w:r w:rsidRPr="00461E57">
        <w:rPr>
          <w:color w:val="1A171B"/>
          <w:sz w:val="21"/>
          <w:szCs w:val="21"/>
        </w:rPr>
        <w:t>Miłosz</w:t>
      </w:r>
      <w:proofErr w:type="spellEnd"/>
      <w:r w:rsidRPr="00461E57">
        <w:rPr>
          <w:color w:val="1A171B"/>
          <w:sz w:val="21"/>
          <w:szCs w:val="21"/>
        </w:rPr>
        <w:t>-</w:t>
      </w:r>
      <w:proofErr w:type="spellStart"/>
      <w:r w:rsidRPr="00461E57">
        <w:rPr>
          <w:color w:val="1A171B"/>
          <w:sz w:val="21"/>
          <w:szCs w:val="21"/>
        </w:rPr>
        <w:t>Brodskij</w:t>
      </w:r>
      <w:proofErr w:type="spellEnd"/>
      <w:r w:rsidRPr="00461E57">
        <w:rPr>
          <w:color w:val="1A171B"/>
          <w:sz w:val="21"/>
          <w:szCs w:val="21"/>
        </w:rPr>
        <w:t>-</w:t>
      </w:r>
      <w:proofErr w:type="spellStart"/>
      <w:r w:rsidRPr="00461E57">
        <w:rPr>
          <w:color w:val="1A171B"/>
          <w:sz w:val="21"/>
          <w:szCs w:val="21"/>
        </w:rPr>
        <w:t>Heaney</w:t>
      </w:r>
      <w:proofErr w:type="spellEnd"/>
      <w:r w:rsidRPr="00461E57">
        <w:rPr>
          <w:color w:val="1A171B"/>
          <w:sz w:val="21"/>
          <w:szCs w:val="21"/>
        </w:rPr>
        <w:t>-Dylan?</w:t>
      </w:r>
      <w:r w:rsidRPr="00461E57">
        <w:rPr>
          <w:rStyle w:val="apple-converted-space"/>
          <w:color w:val="1A171B"/>
          <w:sz w:val="21"/>
          <w:szCs w:val="21"/>
        </w:rPr>
        <w:t> </w:t>
      </w:r>
    </w:p>
    <w:p w:rsidR="00D16651" w:rsidRPr="00461E57" w:rsidRDefault="00D16651" w:rsidP="00D16651">
      <w:pPr>
        <w:pStyle w:val="NormaleWeb"/>
        <w:spacing w:before="0" w:beforeAutospacing="0" w:after="0" w:afterAutospacing="0" w:line="360" w:lineRule="auto"/>
        <w:jc w:val="both"/>
        <w:rPr>
          <w:color w:val="1A171B"/>
          <w:sz w:val="21"/>
          <w:szCs w:val="21"/>
        </w:rPr>
      </w:pPr>
      <w:r w:rsidRPr="00461E57">
        <w:rPr>
          <w:color w:val="1A171B"/>
          <w:sz w:val="21"/>
          <w:szCs w:val="21"/>
        </w:rPr>
        <w:t xml:space="preserve">A me sfugge il senso di queste remore. Perché non si tratta di dichiarare che </w:t>
      </w:r>
      <w:r w:rsidRPr="00461E57">
        <w:rPr>
          <w:color w:val="1A171B"/>
          <w:sz w:val="21"/>
          <w:szCs w:val="21"/>
          <w:highlight w:val="green"/>
        </w:rPr>
        <w:t>le canzoni sono come le poesie, o sono le poesie del nostro tempo</w:t>
      </w:r>
      <w:r w:rsidRPr="00461E57">
        <w:rPr>
          <w:color w:val="1A171B"/>
          <w:sz w:val="21"/>
          <w:szCs w:val="21"/>
        </w:rPr>
        <w:t xml:space="preserve">, né che i testi di Dylan si possono leggere come si leggono quelli di Montale o di </w:t>
      </w:r>
      <w:proofErr w:type="spellStart"/>
      <w:r w:rsidRPr="00461E57">
        <w:rPr>
          <w:color w:val="1A171B"/>
          <w:sz w:val="21"/>
          <w:szCs w:val="21"/>
        </w:rPr>
        <w:t>Brodskij</w:t>
      </w:r>
      <w:proofErr w:type="spellEnd"/>
      <w:r w:rsidRPr="00461E57">
        <w:rPr>
          <w:color w:val="1A171B"/>
          <w:sz w:val="21"/>
          <w:szCs w:val="21"/>
        </w:rPr>
        <w:t xml:space="preserve">; si tratta di prendere nota con gratitudine del fatto che da mezzo secolo a questa parte </w:t>
      </w:r>
      <w:r w:rsidRPr="00461E57">
        <w:rPr>
          <w:color w:val="1A171B"/>
          <w:sz w:val="21"/>
          <w:szCs w:val="21"/>
          <w:highlight w:val="green"/>
        </w:rPr>
        <w:t>un</w:t>
      </w:r>
      <w:r w:rsidRPr="00461E57">
        <w:rPr>
          <w:color w:val="1A171B"/>
          <w:sz w:val="21"/>
          <w:szCs w:val="21"/>
        </w:rPr>
        <w:t xml:space="preserve"> </w:t>
      </w:r>
      <w:r w:rsidRPr="00461E57">
        <w:rPr>
          <w:color w:val="1A171B"/>
          <w:sz w:val="21"/>
          <w:szCs w:val="21"/>
          <w:highlight w:val="green"/>
        </w:rPr>
        <w:t xml:space="preserve">nuovo genere è venuto ad arricchire e a complicare il </w:t>
      </w:r>
      <w:proofErr w:type="spellStart"/>
      <w:r w:rsidRPr="00461E57">
        <w:rPr>
          <w:color w:val="1A171B"/>
          <w:sz w:val="21"/>
          <w:szCs w:val="21"/>
          <w:highlight w:val="green"/>
        </w:rPr>
        <w:t>macrogenere</w:t>
      </w:r>
      <w:proofErr w:type="spellEnd"/>
      <w:r w:rsidRPr="00461E57">
        <w:rPr>
          <w:color w:val="1A171B"/>
          <w:sz w:val="21"/>
          <w:szCs w:val="21"/>
          <w:highlight w:val="green"/>
        </w:rPr>
        <w:t xml:space="preserve"> che chiamiamo Letteratura.</w:t>
      </w:r>
      <w:r w:rsidRPr="00461E57">
        <w:rPr>
          <w:color w:val="1A171B"/>
          <w:sz w:val="21"/>
          <w:szCs w:val="21"/>
        </w:rPr>
        <w:t xml:space="preserve"> </w:t>
      </w:r>
      <w:r w:rsidRPr="00461E57">
        <w:rPr>
          <w:color w:val="1A171B"/>
          <w:sz w:val="21"/>
          <w:szCs w:val="21"/>
          <w:highlight w:val="cyan"/>
        </w:rPr>
        <w:t>C’è stato un tempo in cui un autore di sonetti non avrebbe vinto il Nobel, perché i sonetti erano considerati</w:t>
      </w:r>
      <w:r w:rsidRPr="00461E57">
        <w:rPr>
          <w:rStyle w:val="apple-converted-space"/>
          <w:color w:val="1A171B"/>
          <w:sz w:val="21"/>
          <w:szCs w:val="21"/>
          <w:highlight w:val="cyan"/>
        </w:rPr>
        <w:t> </w:t>
      </w:r>
      <w:proofErr w:type="spellStart"/>
      <w:r w:rsidRPr="00461E57">
        <w:rPr>
          <w:i/>
          <w:iCs/>
          <w:color w:val="1A171B"/>
          <w:sz w:val="21"/>
          <w:szCs w:val="21"/>
          <w:highlight w:val="cyan"/>
        </w:rPr>
        <w:t>nugae</w:t>
      </w:r>
      <w:proofErr w:type="spellEnd"/>
      <w:r w:rsidRPr="00461E57">
        <w:rPr>
          <w:color w:val="1A171B"/>
          <w:sz w:val="21"/>
          <w:szCs w:val="21"/>
          <w:highlight w:val="cyan"/>
        </w:rPr>
        <w:t>; e c’è stato un tempo in cui non lo avrebbe vinto un romanziere, perché i romanzi venivano liquidati come roba per signorine. Le cose cambiano, se sono vive</w:t>
      </w:r>
      <w:r w:rsidRPr="00461E57">
        <w:rPr>
          <w:color w:val="1A171B"/>
          <w:sz w:val="21"/>
          <w:szCs w:val="21"/>
        </w:rPr>
        <w:t xml:space="preserve">. E del resto, se è indubbio che </w:t>
      </w:r>
      <w:r w:rsidRPr="00461E57">
        <w:rPr>
          <w:color w:val="1A171B"/>
          <w:sz w:val="21"/>
          <w:szCs w:val="21"/>
          <w:highlight w:val="yellow"/>
        </w:rPr>
        <w:t>ci sono cose che una canzone non può dire tanto bene, tanto esattamente quanto può dirle una poesia</w:t>
      </w:r>
      <w:r w:rsidRPr="00461E57">
        <w:rPr>
          <w:color w:val="1A171B"/>
          <w:sz w:val="21"/>
          <w:szCs w:val="21"/>
        </w:rPr>
        <w:t xml:space="preserve">, </w:t>
      </w:r>
      <w:r w:rsidRPr="00461E57">
        <w:rPr>
          <w:color w:val="1A171B"/>
          <w:sz w:val="21"/>
          <w:szCs w:val="21"/>
          <w:highlight w:val="magenta"/>
        </w:rPr>
        <w:t>è anche vero il contrario, cioè che la sola carta non basterebbe a contenere l’invettiva di</w:t>
      </w:r>
      <w:r w:rsidRPr="00461E57">
        <w:rPr>
          <w:rStyle w:val="apple-converted-space"/>
          <w:color w:val="1A171B"/>
          <w:sz w:val="21"/>
          <w:szCs w:val="21"/>
          <w:highlight w:val="magenta"/>
        </w:rPr>
        <w:t> </w:t>
      </w:r>
      <w:r w:rsidRPr="00461E57">
        <w:rPr>
          <w:i/>
          <w:iCs/>
          <w:color w:val="1A171B"/>
          <w:sz w:val="21"/>
          <w:szCs w:val="21"/>
          <w:highlight w:val="magenta"/>
        </w:rPr>
        <w:t xml:space="preserve">Like a </w:t>
      </w:r>
      <w:proofErr w:type="spellStart"/>
      <w:r w:rsidRPr="00461E57">
        <w:rPr>
          <w:i/>
          <w:iCs/>
          <w:color w:val="1A171B"/>
          <w:sz w:val="21"/>
          <w:szCs w:val="21"/>
          <w:highlight w:val="magenta"/>
        </w:rPr>
        <w:t>Rolling</w:t>
      </w:r>
      <w:proofErr w:type="spellEnd"/>
      <w:r w:rsidRPr="00461E57">
        <w:rPr>
          <w:i/>
          <w:iCs/>
          <w:color w:val="1A171B"/>
          <w:sz w:val="21"/>
          <w:szCs w:val="21"/>
          <w:highlight w:val="magenta"/>
        </w:rPr>
        <w:t xml:space="preserve"> Stone</w:t>
      </w:r>
      <w:r w:rsidRPr="00461E57">
        <w:rPr>
          <w:color w:val="1A171B"/>
          <w:sz w:val="21"/>
          <w:szCs w:val="21"/>
          <w:highlight w:val="magenta"/>
        </w:rPr>
        <w:t>, o l’inno di</w:t>
      </w:r>
      <w:r w:rsidRPr="00461E57">
        <w:rPr>
          <w:rStyle w:val="apple-converted-space"/>
          <w:color w:val="1A171B"/>
          <w:sz w:val="21"/>
          <w:szCs w:val="21"/>
          <w:highlight w:val="magenta"/>
        </w:rPr>
        <w:t> </w:t>
      </w:r>
      <w:proofErr w:type="spellStart"/>
      <w:r w:rsidRPr="00461E57">
        <w:rPr>
          <w:i/>
          <w:iCs/>
          <w:color w:val="1A171B"/>
          <w:sz w:val="21"/>
          <w:szCs w:val="21"/>
          <w:highlight w:val="magenta"/>
        </w:rPr>
        <w:t>Chimes</w:t>
      </w:r>
      <w:proofErr w:type="spellEnd"/>
      <w:r w:rsidRPr="00461E57">
        <w:rPr>
          <w:i/>
          <w:iCs/>
          <w:color w:val="1A171B"/>
          <w:sz w:val="21"/>
          <w:szCs w:val="21"/>
          <w:highlight w:val="magenta"/>
        </w:rPr>
        <w:t xml:space="preserve"> of </w:t>
      </w:r>
      <w:proofErr w:type="spellStart"/>
      <w:r w:rsidRPr="00461E57">
        <w:rPr>
          <w:i/>
          <w:iCs/>
          <w:color w:val="1A171B"/>
          <w:sz w:val="21"/>
          <w:szCs w:val="21"/>
          <w:highlight w:val="magenta"/>
        </w:rPr>
        <w:t>Freedom</w:t>
      </w:r>
      <w:proofErr w:type="spellEnd"/>
      <w:r w:rsidRPr="00461E57">
        <w:rPr>
          <w:color w:val="1A171B"/>
          <w:sz w:val="21"/>
          <w:szCs w:val="21"/>
          <w:highlight w:val="magenta"/>
        </w:rPr>
        <w:t>, o il sogno medievale di</w:t>
      </w:r>
      <w:r w:rsidRPr="00461E57">
        <w:rPr>
          <w:rStyle w:val="apple-converted-space"/>
          <w:color w:val="1A171B"/>
          <w:sz w:val="21"/>
          <w:szCs w:val="21"/>
          <w:highlight w:val="magenta"/>
        </w:rPr>
        <w:t> </w:t>
      </w:r>
      <w:proofErr w:type="spellStart"/>
      <w:r w:rsidRPr="00461E57">
        <w:rPr>
          <w:i/>
          <w:iCs/>
          <w:color w:val="1A171B"/>
          <w:sz w:val="21"/>
          <w:szCs w:val="21"/>
          <w:highlight w:val="magenta"/>
        </w:rPr>
        <w:t>All</w:t>
      </w:r>
      <w:proofErr w:type="spellEnd"/>
      <w:r w:rsidRPr="00461E57">
        <w:rPr>
          <w:i/>
          <w:iCs/>
          <w:color w:val="1A171B"/>
          <w:sz w:val="21"/>
          <w:szCs w:val="21"/>
          <w:highlight w:val="magenta"/>
        </w:rPr>
        <w:t xml:space="preserve"> Along the </w:t>
      </w:r>
      <w:proofErr w:type="spellStart"/>
      <w:r w:rsidRPr="00461E57">
        <w:rPr>
          <w:i/>
          <w:iCs/>
          <w:color w:val="1A171B"/>
          <w:sz w:val="21"/>
          <w:szCs w:val="21"/>
          <w:highlight w:val="magenta"/>
        </w:rPr>
        <w:t>Watchtower</w:t>
      </w:r>
      <w:proofErr w:type="spellEnd"/>
      <w:r w:rsidRPr="00461E57">
        <w:rPr>
          <w:color w:val="1A171B"/>
          <w:sz w:val="21"/>
          <w:szCs w:val="21"/>
          <w:highlight w:val="magenta"/>
        </w:rPr>
        <w:t>. Se non sai metterli in musica, non li puoi dire.</w:t>
      </w:r>
    </w:p>
    <w:p w:rsidR="00D16651" w:rsidRPr="00461E57" w:rsidRDefault="00D16651" w:rsidP="00D16651">
      <w:pPr>
        <w:pStyle w:val="NormaleWeb"/>
        <w:spacing w:before="0" w:beforeAutospacing="0" w:after="0" w:afterAutospacing="0" w:line="360" w:lineRule="auto"/>
        <w:jc w:val="both"/>
        <w:rPr>
          <w:color w:val="1A171B"/>
          <w:sz w:val="21"/>
          <w:szCs w:val="21"/>
        </w:rPr>
      </w:pPr>
      <w:r w:rsidRPr="00461E57">
        <w:rPr>
          <w:color w:val="1A171B"/>
          <w:sz w:val="21"/>
          <w:szCs w:val="21"/>
        </w:rPr>
        <w:t>E comunque di queste cose, alla fine, non giudicano gli intellettuali ma il senso comune, e il Senso Comune si è espresso con classica tempestività: «Mentre siamo al lavoro sui numeri della stabilità arriva la notizia di #</w:t>
      </w:r>
      <w:proofErr w:type="spellStart"/>
      <w:r w:rsidRPr="00461E57">
        <w:rPr>
          <w:color w:val="1A171B"/>
          <w:sz w:val="21"/>
          <w:szCs w:val="21"/>
        </w:rPr>
        <w:t>BobDylan</w:t>
      </w:r>
      <w:proofErr w:type="spellEnd"/>
      <w:r w:rsidRPr="00461E57">
        <w:rPr>
          <w:color w:val="1A171B"/>
          <w:sz w:val="21"/>
          <w:szCs w:val="21"/>
        </w:rPr>
        <w:t xml:space="preserve"> Nobel per la letteratura. La poesia vince, sempre» (Matteo Renzi, </w:t>
      </w:r>
      <w:proofErr w:type="spellStart"/>
      <w:r w:rsidRPr="00461E57">
        <w:rPr>
          <w:color w:val="1A171B"/>
          <w:sz w:val="21"/>
          <w:szCs w:val="21"/>
        </w:rPr>
        <w:t>tweet</w:t>
      </w:r>
      <w:proofErr w:type="spellEnd"/>
      <w:r w:rsidRPr="00461E57">
        <w:rPr>
          <w:color w:val="1A171B"/>
          <w:sz w:val="21"/>
          <w:szCs w:val="21"/>
        </w:rPr>
        <w:t xml:space="preserve"> di giovedì 13 ottobre, ore 13.28). Ma infatti.</w:t>
      </w:r>
    </w:p>
    <w:p w:rsidR="00836A15" w:rsidRPr="00461E57" w:rsidRDefault="00B0712A" w:rsidP="00461E57">
      <w:pPr>
        <w:spacing w:after="24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461E57">
        <w:rPr>
          <w:rFonts w:ascii="Times New Roman" w:hAnsi="Times New Roman" w:cs="Times New Roman"/>
          <w:sz w:val="21"/>
          <w:szCs w:val="21"/>
        </w:rPr>
        <w:t>GIUNTA, in “Domenica – Il Sole 24 ore”, 16 ottobre 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726"/>
      </w:tblGrid>
      <w:tr w:rsidR="00461E57" w:rsidRPr="00461E57" w:rsidTr="00461E57">
        <w:trPr>
          <w:trHeight w:val="397"/>
        </w:trPr>
        <w:tc>
          <w:tcPr>
            <w:tcW w:w="2122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1"/>
              </w:rPr>
            </w:pPr>
            <w:r w:rsidRPr="00461E57">
              <w:rPr>
                <w:rFonts w:ascii="Times New Roman" w:hAnsi="Times New Roman" w:cs="Times New Roman"/>
                <w:b/>
                <w:color w:val="00B0F0"/>
                <w:sz w:val="20"/>
                <w:szCs w:val="21"/>
              </w:rPr>
              <w:t>PROCEDIMENTI ARGOMENTATIVI</w:t>
            </w:r>
          </w:p>
        </w:tc>
        <w:tc>
          <w:tcPr>
            <w:tcW w:w="7726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1"/>
              </w:rPr>
              <w:t>CLAUDIO GIUNTA</w:t>
            </w:r>
          </w:p>
        </w:tc>
      </w:tr>
      <w:tr w:rsidR="00461E57" w:rsidRPr="00461E57" w:rsidTr="00461E57">
        <w:trPr>
          <w:trHeight w:val="397"/>
        </w:trPr>
        <w:tc>
          <w:tcPr>
            <w:tcW w:w="2122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TESI</w:t>
            </w:r>
          </w:p>
        </w:tc>
        <w:tc>
          <w:tcPr>
            <w:tcW w:w="7726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La poesia in musica è un genere letterario ormai affermato</w:t>
            </w:r>
          </w:p>
        </w:tc>
      </w:tr>
      <w:tr w:rsidR="00461E57" w:rsidRPr="00461E57" w:rsidTr="00461E57">
        <w:trPr>
          <w:trHeight w:val="397"/>
        </w:trPr>
        <w:tc>
          <w:tcPr>
            <w:tcW w:w="2122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ANTITESI</w:t>
            </w:r>
          </w:p>
        </w:tc>
        <w:tc>
          <w:tcPr>
            <w:tcW w:w="7726" w:type="dxa"/>
            <w:vAlign w:val="center"/>
          </w:tcPr>
          <w:p w:rsidR="00461E57" w:rsidRPr="00461E57" w:rsidRDefault="00AD0139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(non esplicita) L</w:t>
            </w:r>
            <w:r w:rsidR="00100FB7">
              <w:rPr>
                <w:rFonts w:ascii="Times New Roman" w:hAnsi="Times New Roman" w:cs="Times New Roman"/>
                <w:sz w:val="20"/>
                <w:szCs w:val="21"/>
              </w:rPr>
              <w:t>e canzoni non sono letteratura</w:t>
            </w:r>
          </w:p>
        </w:tc>
      </w:tr>
      <w:tr w:rsidR="00461E57" w:rsidRPr="00461E57" w:rsidTr="00461E57">
        <w:trPr>
          <w:trHeight w:val="397"/>
        </w:trPr>
        <w:tc>
          <w:tcPr>
            <w:tcW w:w="2122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ARGOMENTI PRO TESI</w:t>
            </w:r>
          </w:p>
        </w:tc>
        <w:tc>
          <w:tcPr>
            <w:tcW w:w="7726" w:type="dxa"/>
            <w:vAlign w:val="center"/>
          </w:tcPr>
          <w:p w:rsidR="00461E57" w:rsidRDefault="00100FB7" w:rsidP="00100FB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non viene usata l’argomentazione di </w:t>
            </w:r>
            <w:r w:rsidRPr="00100FB7">
              <w:rPr>
                <w:rFonts w:ascii="Times New Roman" w:hAnsi="Times New Roman" w:cs="Times New Roman"/>
                <w:color w:val="00B0F0"/>
                <w:sz w:val="20"/>
                <w:szCs w:val="21"/>
              </w:rPr>
              <w:t>tipo deduttivo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: le canzoni sono la forma di poesia del nostro tempo, a prescindere dalla musica</w:t>
            </w:r>
          </w:p>
          <w:p w:rsidR="00100FB7" w:rsidRPr="00100FB7" w:rsidRDefault="00100FB7" w:rsidP="00100FB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si preferisce l’argomentazione di </w:t>
            </w:r>
            <w:r w:rsidRPr="00100FB7">
              <w:rPr>
                <w:rFonts w:ascii="Times New Roman" w:hAnsi="Times New Roman" w:cs="Times New Roman"/>
                <w:color w:val="00B050"/>
                <w:sz w:val="20"/>
                <w:szCs w:val="21"/>
              </w:rPr>
              <w:t xml:space="preserve">tipo abduttivo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basata su alcuni esempi che dimostrano il cambiamento della percezione di ciò che è letteratura nel corso del tempo, da cui si comprende che la canzone d’autore può essere considerata letteratura</w:t>
            </w:r>
          </w:p>
        </w:tc>
      </w:tr>
      <w:tr w:rsidR="00461E57" w:rsidRPr="00461E57" w:rsidTr="00461E57">
        <w:trPr>
          <w:trHeight w:val="397"/>
        </w:trPr>
        <w:tc>
          <w:tcPr>
            <w:tcW w:w="2122" w:type="dxa"/>
            <w:vAlign w:val="center"/>
          </w:tcPr>
          <w:p w:rsidR="00461E57" w:rsidRPr="00461E57" w:rsidRDefault="00461E57" w:rsidP="00461E5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ARGOMENTI CONTRO ANTITESI</w:t>
            </w:r>
          </w:p>
        </w:tc>
        <w:tc>
          <w:tcPr>
            <w:tcW w:w="7726" w:type="dxa"/>
            <w:vAlign w:val="center"/>
          </w:tcPr>
          <w:p w:rsidR="00461E57" w:rsidRDefault="00100FB7" w:rsidP="00100FB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1"/>
              </w:rPr>
            </w:pPr>
            <w:r w:rsidRPr="00100FB7">
              <w:rPr>
                <w:rFonts w:ascii="Times New Roman" w:hAnsi="Times New Roman" w:cs="Times New Roman"/>
                <w:color w:val="FF85FF"/>
                <w:sz w:val="20"/>
                <w:szCs w:val="21"/>
              </w:rPr>
              <w:t>CONCESSIONE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: la poesia è più espressiva della canzone, ma è altrettanto vero che certi contenuti hanno bisogno della musica per essere pienamente espressi</w:t>
            </w:r>
          </w:p>
          <w:p w:rsidR="00100FB7" w:rsidRPr="00100FB7" w:rsidRDefault="00100FB7" w:rsidP="00100FB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esempi di canzoni di Bob Dylan qualificate con il lessico della critica letteraria</w:t>
            </w:r>
          </w:p>
        </w:tc>
      </w:tr>
    </w:tbl>
    <w:p w:rsidR="00D16651" w:rsidRPr="00461E57" w:rsidRDefault="00D1665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16651" w:rsidRPr="00461E57" w:rsidSect="00D16651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A67"/>
    <w:multiLevelType w:val="hybridMultilevel"/>
    <w:tmpl w:val="7910EE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86BBD"/>
    <w:multiLevelType w:val="hybridMultilevel"/>
    <w:tmpl w:val="EE641B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51"/>
    <w:rsid w:val="00100FB7"/>
    <w:rsid w:val="002572EE"/>
    <w:rsid w:val="00461E57"/>
    <w:rsid w:val="00836A15"/>
    <w:rsid w:val="00AD0139"/>
    <w:rsid w:val="00B0712A"/>
    <w:rsid w:val="00C468BA"/>
    <w:rsid w:val="00D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A56B7"/>
  <w14:defaultImageDpi w14:val="32767"/>
  <w15:chartTrackingRefBased/>
  <w15:docId w15:val="{05EEDD04-ABB8-9A41-ADD0-7252247E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6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16651"/>
  </w:style>
  <w:style w:type="table" w:styleId="Grigliatabella">
    <w:name w:val="Table Grid"/>
    <w:basedOn w:val="Tabellanormale"/>
    <w:uiPriority w:val="39"/>
    <w:rsid w:val="00B0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Silva</dc:creator>
  <cp:keywords/>
  <dc:description/>
  <cp:lastModifiedBy>Alessandra Silva</cp:lastModifiedBy>
  <cp:revision>2</cp:revision>
  <dcterms:created xsi:type="dcterms:W3CDTF">2019-01-14T19:55:00Z</dcterms:created>
  <dcterms:modified xsi:type="dcterms:W3CDTF">2019-01-14T20:57:00Z</dcterms:modified>
</cp:coreProperties>
</file>